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33B4" w14:textId="688DD734" w:rsidR="002A2D70" w:rsidRPr="002A2D70" w:rsidRDefault="002A2D70" w:rsidP="002A2D70">
      <w:pPr>
        <w:pStyle w:val="Heading1"/>
        <w:jc w:val="left"/>
        <w:rPr>
          <w:bCs/>
        </w:rPr>
      </w:pPr>
      <w:bookmarkStart w:id="0" w:name="_Hlk509475221"/>
      <w:r w:rsidRPr="002A2D70">
        <w:rPr>
          <w:bCs/>
          <w:sz w:val="28"/>
          <w:szCs w:val="28"/>
        </w:rPr>
        <w:t>Staff Read this out loud, use PPT Open, clients sign off On Sign Off Sheet – Form 1</w:t>
      </w:r>
      <w:r>
        <w:rPr>
          <w:bCs/>
          <w:sz w:val="28"/>
          <w:szCs w:val="28"/>
        </w:rPr>
        <w:br/>
      </w:r>
    </w:p>
    <w:bookmarkEnd w:id="0"/>
    <w:p w14:paraId="3A60AD52" w14:textId="77777777" w:rsidR="00D64262" w:rsidRDefault="002A2D70" w:rsidP="00192277">
      <w:pPr>
        <w:rPr>
          <w:b/>
          <w:color w:val="000000"/>
          <w:u w:val="single"/>
          <w:shd w:val="clear" w:color="auto" w:fill="FFFFFF"/>
        </w:rPr>
      </w:pPr>
      <w:r>
        <w:rPr>
          <w:b/>
          <w:sz w:val="28"/>
          <w:szCs w:val="28"/>
          <w:u w:val="single"/>
        </w:rPr>
        <w:t xml:space="preserve">Contract/ </w:t>
      </w:r>
      <w:r w:rsidRPr="002A2D70">
        <w:rPr>
          <w:b/>
          <w:sz w:val="28"/>
          <w:szCs w:val="28"/>
          <w:u w:val="single"/>
        </w:rPr>
        <w:t>Fee Agreement</w:t>
      </w:r>
      <w:r w:rsidRPr="002A2D70">
        <w:rPr>
          <w:b/>
          <w:u w:val="single"/>
        </w:rPr>
        <w:t xml:space="preserve">: </w:t>
      </w:r>
      <w:r w:rsidRPr="002A2D70">
        <w:t xml:space="preserve">I have </w:t>
      </w:r>
      <w:r w:rsidRPr="002A2D70">
        <w:rPr>
          <w:b/>
          <w:bCs/>
        </w:rPr>
        <w:t>paid $_____________ for the ______</w:t>
      </w:r>
      <w:proofErr w:type="spellStart"/>
      <w:r w:rsidRPr="002A2D70">
        <w:rPr>
          <w:b/>
          <w:bCs/>
        </w:rPr>
        <w:t>hr</w:t>
      </w:r>
      <w:proofErr w:type="spellEnd"/>
      <w:r w:rsidRPr="002A2D70">
        <w:rPr>
          <w:b/>
          <w:bCs/>
        </w:rPr>
        <w:t xml:space="preserve"> Driver Intervention Program</w:t>
      </w:r>
      <w:r w:rsidRPr="002A2D70">
        <w:t xml:space="preserve"> and agree to abide by the terms of service as read out loud during the scheduled segment “Program Open” and posted in the ARC-</w:t>
      </w:r>
      <w:proofErr w:type="spellStart"/>
      <w:r w:rsidRPr="002A2D70">
        <w:t>ip</w:t>
      </w:r>
      <w:proofErr w:type="spellEnd"/>
      <w:r w:rsidRPr="002A2D70">
        <w:t xml:space="preserve"> Certification and Standards Display. </w:t>
      </w:r>
      <w:r w:rsidRPr="002A2D70">
        <w:br/>
      </w:r>
      <w:r w:rsidRPr="002A2D70">
        <w:rPr>
          <w:b/>
          <w:bCs/>
          <w:u w:val="single"/>
        </w:rPr>
        <w:t xml:space="preserve">Terms of Service: </w:t>
      </w:r>
      <w:r w:rsidRPr="002A2D70">
        <w:t xml:space="preserve">Type of service: Driver Intervention Program (DIP): educational segments (lectures, small groups, and films), intake, screening, interviews including referral (where deemed necessary) to individuals who </w:t>
      </w:r>
      <w:r w:rsidRPr="002A2D70">
        <w:rPr>
          <w:spacing w:val="-7"/>
        </w:rPr>
        <w:t xml:space="preserve">have substance abuse </w:t>
      </w:r>
      <w:r w:rsidRPr="002A2D70">
        <w:rPr>
          <w:spacing w:val="-5"/>
        </w:rPr>
        <w:t>problems or legal charges related to the use of substances (legal and illegal). The fee includes food (catering pre-arranged for group consumption), sleeping room (type is dependent on amount of fee -shared, double, or private), and completion report faxed to referral court, one attorney, and treatment facility if referral is made. Any and/or all other services may initiate additional fees.</w:t>
      </w:r>
      <w:r>
        <w:rPr>
          <w:b/>
          <w:color w:val="000000" w:themeColor="text1"/>
          <w:u w:val="single"/>
        </w:rPr>
        <w:br/>
      </w:r>
      <w:r>
        <w:rPr>
          <w:b/>
          <w:color w:val="000000" w:themeColor="text1"/>
          <w:u w:val="single"/>
        </w:rPr>
        <w:br/>
      </w:r>
      <w:r w:rsidR="00192277" w:rsidRPr="002A2D70">
        <w:rPr>
          <w:b/>
          <w:color w:val="000000" w:themeColor="text1"/>
          <w:u w:val="single"/>
        </w:rPr>
        <w:t xml:space="preserve">CLIENT RIGHTS - </w:t>
      </w:r>
      <w:r w:rsidR="00192277" w:rsidRPr="002A2D70">
        <w:rPr>
          <w:rStyle w:val="Strong"/>
          <w:color w:val="000000" w:themeColor="text1"/>
          <w:u w:val="single"/>
          <w:bdr w:val="none" w:sz="0" w:space="0" w:color="auto" w:frame="1"/>
          <w:shd w:val="clear" w:color="auto" w:fill="FFFFFF"/>
        </w:rPr>
        <w:t xml:space="preserve">      OAC Rule 5122-26-18 G</w:t>
      </w:r>
      <w:r w:rsidR="00192277" w:rsidRPr="002A2D70">
        <w:rPr>
          <w:rStyle w:val="Strong"/>
          <w:color w:val="000000" w:themeColor="text1"/>
          <w:u w:val="single"/>
          <w:bdr w:val="none" w:sz="0" w:space="0" w:color="auto" w:frame="1"/>
          <w:shd w:val="clear" w:color="auto" w:fill="FFFFFF"/>
        </w:rPr>
        <w:br/>
      </w:r>
      <w:r w:rsidR="00BA21C5" w:rsidRPr="002A2D70">
        <w:rPr>
          <w:color w:val="000000"/>
        </w:rPr>
        <w:t>(1) The right to be treated with consideration and respect for personal dignity, autonomy and privacy;</w:t>
      </w:r>
      <w:r w:rsidR="00BA21C5" w:rsidRPr="002A2D70">
        <w:rPr>
          <w:color w:val="000000"/>
        </w:rPr>
        <w:br/>
        <w:t>(2) The right to reasonable protection from physical, sexual or emotional abuse and inhumane treatment;</w:t>
      </w:r>
      <w:r w:rsidR="00BA21C5" w:rsidRPr="002A2D70">
        <w:rPr>
          <w:color w:val="000000"/>
        </w:rPr>
        <w:br/>
        <w:t>(3) The right to give informed consent to or to refuse any service:</w:t>
      </w:r>
      <w:r w:rsidR="00BA21C5" w:rsidRPr="002A2D70">
        <w:rPr>
          <w:color w:val="000000"/>
        </w:rPr>
        <w:br/>
        <w:t>(4) The right to be free from restraint or seclusion unless there is immediate risk of physical harm to self or others;</w:t>
      </w:r>
      <w:r w:rsidR="00BA21C5" w:rsidRPr="002A2D70">
        <w:rPr>
          <w:color w:val="000000"/>
        </w:rPr>
        <w:br/>
        <w:t>(5) The right to be informed and the right to refuse any unusual or hazardous procedures;</w:t>
      </w:r>
      <w:r w:rsidR="00BA21C5" w:rsidRPr="002A2D70">
        <w:rPr>
          <w:color w:val="000000"/>
        </w:rPr>
        <w:br/>
        <w:t>(6) The right to be advised and the right to refuse observation by others and by techniques such as one-way vision mirrors, tape recorders, video recorders, television, movies, photographs or other audio and visual technology. This right does not prohibit an agency from using closed-circuit monitoring to observe seclusion rooms or common areas, which does not include bathrooms or sleeping areas;</w:t>
      </w:r>
      <w:r w:rsidR="00BA21C5" w:rsidRPr="002A2D70">
        <w:rPr>
          <w:color w:val="000000"/>
        </w:rPr>
        <w:br/>
        <w:t>(7) The right to confidentiality of communications and personal identifying information within the limitations and requirements for disclosure of client information under state and federal laws and regulations;</w:t>
      </w:r>
      <w:r w:rsidR="00BA21C5" w:rsidRPr="002A2D70">
        <w:rPr>
          <w:color w:val="000000"/>
        </w:rPr>
        <w:br/>
        <w:t>(8) The right to have access to one's own client record;</w:t>
      </w:r>
      <w:r w:rsidR="00BA21C5" w:rsidRPr="002A2D70">
        <w:rPr>
          <w:color w:val="000000"/>
        </w:rPr>
        <w:br/>
        <w:t>(9) The right to be informed of the reason for terminating participation in a service;</w:t>
      </w:r>
      <w:r w:rsidR="00BA21C5" w:rsidRPr="002A2D70">
        <w:rPr>
          <w:color w:val="000000"/>
        </w:rPr>
        <w:br/>
        <w:t>(10) The right to be informed of the reason for denial of a service;</w:t>
      </w:r>
      <w:r w:rsidR="00BA21C5" w:rsidRPr="002A2D70">
        <w:rPr>
          <w:color w:val="000000"/>
        </w:rPr>
        <w:br/>
        <w:t>(11) The right not to be discriminated against for receiving services on the basis of race, ethnicity, age, color, religion, gender, national origin, sexual orientation, physical or mental handicap, developmental disability, genetic information, human immunodeficiency virus status, or in any manner prohibited by local, state or federal laws;</w:t>
      </w:r>
      <w:r w:rsidR="00BA21C5" w:rsidRPr="002A2D70">
        <w:rPr>
          <w:color w:val="000000"/>
        </w:rPr>
        <w:br/>
        <w:t>(12) The right to know the cost of services;</w:t>
      </w:r>
      <w:r w:rsidR="00BA21C5" w:rsidRPr="002A2D70">
        <w:rPr>
          <w:color w:val="000000"/>
        </w:rPr>
        <w:br/>
        <w:t>(13) The right to be verbally informed of all client rights, and to receive a written copy upon request;</w:t>
      </w:r>
      <w:r w:rsidR="00BA21C5" w:rsidRPr="002A2D70">
        <w:rPr>
          <w:color w:val="000000"/>
        </w:rPr>
        <w:br/>
        <w:t>(14) The right to exercise one's own rights without reprisal, except that no right extends so far as to supersede health and safety considerations;</w:t>
      </w:r>
      <w:r w:rsidR="00BA21C5" w:rsidRPr="002A2D70">
        <w:rPr>
          <w:color w:val="000000"/>
        </w:rPr>
        <w:br/>
        <w:t>(15) The right to file a grievance;</w:t>
      </w:r>
      <w:r w:rsidR="00BA21C5" w:rsidRPr="002A2D70">
        <w:rPr>
          <w:color w:val="000000"/>
        </w:rPr>
        <w:br/>
        <w:t>(16) The right to have oral and written instructions concerning the procedure for filing a grievance, and to assistance in filing a grievance if requested;</w:t>
      </w:r>
      <w:r w:rsidR="00BA21C5" w:rsidRPr="002A2D70">
        <w:rPr>
          <w:color w:val="000000"/>
        </w:rPr>
        <w:br/>
        <w:t>(17) The right to be informed of one's own condition; and,</w:t>
      </w:r>
      <w:r w:rsidR="00BA21C5" w:rsidRPr="002A2D70">
        <w:rPr>
          <w:color w:val="000000"/>
        </w:rPr>
        <w:br/>
        <w:t>(18) The right to consult with an independent treatment specialist or legal counsel at one's own expense.</w:t>
      </w:r>
      <w:r w:rsidR="00192277" w:rsidRPr="002A2D70">
        <w:rPr>
          <w:color w:val="000000"/>
        </w:rPr>
        <w:br/>
      </w:r>
    </w:p>
    <w:p w14:paraId="75815085" w14:textId="77777777" w:rsidR="00D64262" w:rsidRDefault="00D64262" w:rsidP="00192277">
      <w:pPr>
        <w:rPr>
          <w:b/>
          <w:color w:val="000000"/>
          <w:u w:val="single"/>
          <w:shd w:val="clear" w:color="auto" w:fill="FFFFFF"/>
        </w:rPr>
      </w:pPr>
    </w:p>
    <w:p w14:paraId="45677607" w14:textId="77777777" w:rsidR="00D64262" w:rsidRDefault="00D64262" w:rsidP="00192277">
      <w:pPr>
        <w:rPr>
          <w:b/>
          <w:color w:val="000000"/>
          <w:u w:val="single"/>
          <w:shd w:val="clear" w:color="auto" w:fill="FFFFFF"/>
        </w:rPr>
      </w:pPr>
    </w:p>
    <w:p w14:paraId="68CB3F1A" w14:textId="77777777" w:rsidR="00D64262" w:rsidRDefault="00D64262" w:rsidP="00192277">
      <w:pPr>
        <w:rPr>
          <w:b/>
          <w:color w:val="000000"/>
          <w:u w:val="single"/>
          <w:shd w:val="clear" w:color="auto" w:fill="FFFFFF"/>
        </w:rPr>
      </w:pPr>
    </w:p>
    <w:p w14:paraId="437ED21B" w14:textId="77777777" w:rsidR="00D64262" w:rsidRDefault="00D64262" w:rsidP="00192277">
      <w:pPr>
        <w:rPr>
          <w:b/>
          <w:color w:val="000000"/>
          <w:u w:val="single"/>
          <w:shd w:val="clear" w:color="auto" w:fill="FFFFFF"/>
        </w:rPr>
      </w:pPr>
    </w:p>
    <w:p w14:paraId="3DA4DED8" w14:textId="77777777" w:rsidR="00D64262" w:rsidRDefault="00D64262" w:rsidP="00192277">
      <w:pPr>
        <w:rPr>
          <w:b/>
          <w:color w:val="000000"/>
          <w:u w:val="single"/>
          <w:shd w:val="clear" w:color="auto" w:fill="FFFFFF"/>
        </w:rPr>
      </w:pPr>
    </w:p>
    <w:p w14:paraId="6E2BF107" w14:textId="77777777" w:rsidR="00D64262" w:rsidRDefault="00D64262" w:rsidP="00192277">
      <w:pPr>
        <w:rPr>
          <w:b/>
          <w:color w:val="000000"/>
          <w:u w:val="single"/>
          <w:shd w:val="clear" w:color="auto" w:fill="FFFFFF"/>
        </w:rPr>
      </w:pPr>
    </w:p>
    <w:p w14:paraId="4437149E" w14:textId="77777777" w:rsidR="00D64262" w:rsidRDefault="00D64262" w:rsidP="00192277">
      <w:pPr>
        <w:rPr>
          <w:b/>
          <w:color w:val="000000"/>
          <w:u w:val="single"/>
          <w:shd w:val="clear" w:color="auto" w:fill="FFFFFF"/>
        </w:rPr>
      </w:pPr>
    </w:p>
    <w:p w14:paraId="15B3C305" w14:textId="688A20AD" w:rsidR="00BA21C5" w:rsidRPr="00192277" w:rsidRDefault="00BA21C5" w:rsidP="00192277">
      <w:r w:rsidRPr="00192277">
        <w:rPr>
          <w:b/>
          <w:color w:val="000000"/>
          <w:u w:val="single"/>
          <w:shd w:val="clear" w:color="auto" w:fill="FFFFFF"/>
        </w:rPr>
        <w:t>Confidentiality of Client Records:</w:t>
      </w:r>
      <w:r w:rsidRPr="00192277">
        <w:rPr>
          <w:color w:val="000000"/>
          <w:shd w:val="clear" w:color="auto" w:fill="FFFFFF"/>
        </w:rPr>
        <w:t xml:space="preserve"> “This information </w:t>
      </w:r>
      <w:r w:rsidRPr="00192277">
        <w:t>has</w:t>
      </w:r>
      <w:r w:rsidRPr="00192277">
        <w:rPr>
          <w:color w:val="000000"/>
          <w:shd w:val="clear" w:color="auto" w:fill="FFFFFF"/>
        </w:rPr>
        <w:t> been disclosed to you from records protected by federal confidentiality rules (42 </w:t>
      </w:r>
      <w:r w:rsidRPr="00192277">
        <w:t>CFR</w:t>
      </w:r>
      <w:r w:rsidRPr="00192277">
        <w:rPr>
          <w:color w:val="000000"/>
          <w:shd w:val="clear" w:color="auto" w:fill="FFFFFF"/>
        </w:rPr>
        <w:t> Part 2). The federal rules prohibit you from making any further disclosure of this information unless further disclosure is expressly permitted by the written consent of the person to whom it pertains or as otherwise permitted by 42 </w:t>
      </w:r>
      <w:r w:rsidRPr="00192277">
        <w:t>CFR</w:t>
      </w:r>
      <w:r w:rsidRPr="00192277">
        <w:rPr>
          <w:color w:val="000000"/>
          <w:shd w:val="clear" w:color="auto" w:fill="FFFFFF"/>
        </w:rPr>
        <w:t xml:space="preserve"> Part 2. A general authorization for the release of medical or other information is not sufficient for this purpose. The Federal rules restrict any use of information to criminally investigate or prosecute any alcohol or drug abuse client. </w:t>
      </w:r>
    </w:p>
    <w:p w14:paraId="0AE74D0A" w14:textId="262EC915" w:rsidR="00874D8E" w:rsidRDefault="00874D8E" w:rsidP="00BA21C5">
      <w:pPr>
        <w:rPr>
          <w:sz w:val="22"/>
          <w:szCs w:val="22"/>
        </w:rPr>
      </w:pPr>
    </w:p>
    <w:p w14:paraId="4E0F3C72" w14:textId="29FFA888" w:rsidR="004663A6" w:rsidRPr="004663A6" w:rsidRDefault="004663A6" w:rsidP="004663A6">
      <w:r w:rsidRPr="004663A6">
        <w:rPr>
          <w:b/>
          <w:bCs/>
          <w:u w:val="single"/>
        </w:rPr>
        <w:t>Rule 5122-26-18</w:t>
      </w:r>
      <w:r>
        <w:rPr>
          <w:b/>
          <w:bCs/>
          <w:u w:val="single"/>
        </w:rPr>
        <w:t xml:space="preserve"> (also see form)</w:t>
      </w:r>
      <w:r w:rsidR="00D64262">
        <w:rPr>
          <w:b/>
          <w:bCs/>
          <w:u w:val="single"/>
        </w:rPr>
        <w:t xml:space="preserve"> (Read only italic sections </w:t>
      </w:r>
      <w:proofErr w:type="spellStart"/>
      <w:r w:rsidR="00D64262">
        <w:rPr>
          <w:b/>
          <w:bCs/>
          <w:u w:val="single"/>
        </w:rPr>
        <w:t>outloud</w:t>
      </w:r>
      <w:proofErr w:type="spellEnd"/>
      <w:r w:rsidR="00D64262">
        <w:rPr>
          <w:b/>
          <w:bCs/>
          <w:u w:val="single"/>
        </w:rPr>
        <w:t>)</w:t>
      </w:r>
    </w:p>
    <w:p w14:paraId="398EC239" w14:textId="77777777" w:rsidR="004663A6" w:rsidRPr="004663A6" w:rsidRDefault="004663A6" w:rsidP="004663A6">
      <w:pPr>
        <w:numPr>
          <w:ilvl w:val="0"/>
          <w:numId w:val="7"/>
        </w:numPr>
        <w:rPr>
          <w:i/>
          <w:iCs/>
        </w:rPr>
      </w:pPr>
      <w:r w:rsidRPr="004663A6">
        <w:rPr>
          <w:i/>
          <w:iCs/>
        </w:rPr>
        <w:t xml:space="preserve">The Grievance must be in writing. </w:t>
      </w:r>
    </w:p>
    <w:p w14:paraId="34BDD242" w14:textId="77777777" w:rsidR="004663A6" w:rsidRPr="004663A6" w:rsidRDefault="004663A6" w:rsidP="004663A6">
      <w:pPr>
        <w:numPr>
          <w:ilvl w:val="0"/>
          <w:numId w:val="7"/>
        </w:numPr>
        <w:rPr>
          <w:i/>
          <w:iCs/>
        </w:rPr>
      </w:pPr>
      <w:r w:rsidRPr="004663A6">
        <w:rPr>
          <w:i/>
          <w:iCs/>
        </w:rPr>
        <w:t xml:space="preserve">The grievance must be signed and dated by client/ individual filing the grievance on behalf of themselves or person filing grievance. </w:t>
      </w:r>
    </w:p>
    <w:p w14:paraId="713807BD" w14:textId="77777777" w:rsidR="004663A6" w:rsidRPr="004663A6" w:rsidRDefault="004663A6" w:rsidP="004663A6">
      <w:pPr>
        <w:numPr>
          <w:ilvl w:val="0"/>
          <w:numId w:val="7"/>
        </w:numPr>
        <w:rPr>
          <w:i/>
          <w:iCs/>
        </w:rPr>
      </w:pPr>
      <w:r w:rsidRPr="004663A6">
        <w:rPr>
          <w:i/>
          <w:iCs/>
        </w:rPr>
        <w:t xml:space="preserve">The grievance must include the following: </w:t>
      </w:r>
    </w:p>
    <w:p w14:paraId="0D8DCEBB" w14:textId="77777777" w:rsidR="004663A6" w:rsidRPr="004663A6" w:rsidRDefault="004663A6" w:rsidP="004663A6">
      <w:pPr>
        <w:numPr>
          <w:ilvl w:val="1"/>
          <w:numId w:val="7"/>
        </w:numPr>
        <w:rPr>
          <w:i/>
          <w:iCs/>
        </w:rPr>
      </w:pPr>
      <w:r w:rsidRPr="004663A6">
        <w:rPr>
          <w:i/>
          <w:iCs/>
        </w:rPr>
        <w:t xml:space="preserve">Date of occurrence; Approximate time the situation occurred; Description of </w:t>
      </w:r>
      <w:proofErr w:type="gramStart"/>
      <w:r w:rsidRPr="004663A6">
        <w:rPr>
          <w:i/>
          <w:iCs/>
        </w:rPr>
        <w:t>incident;</w:t>
      </w:r>
      <w:proofErr w:type="gramEnd"/>
    </w:p>
    <w:p w14:paraId="14409329" w14:textId="77777777" w:rsidR="004663A6" w:rsidRPr="004663A6" w:rsidRDefault="004663A6" w:rsidP="004663A6">
      <w:pPr>
        <w:rPr>
          <w:i/>
          <w:iCs/>
        </w:rPr>
      </w:pPr>
      <w:r w:rsidRPr="004663A6">
        <w:rPr>
          <w:i/>
          <w:iCs/>
        </w:rPr>
        <w:t xml:space="preserve">and names of individuals involved. </w:t>
      </w:r>
    </w:p>
    <w:p w14:paraId="0C5A3A5B" w14:textId="77777777" w:rsidR="004663A6" w:rsidRPr="004663A6" w:rsidRDefault="004663A6" w:rsidP="004663A6">
      <w:pPr>
        <w:numPr>
          <w:ilvl w:val="0"/>
          <w:numId w:val="8"/>
        </w:numPr>
        <w:rPr>
          <w:i/>
          <w:iCs/>
        </w:rPr>
      </w:pPr>
      <w:r w:rsidRPr="004663A6">
        <w:rPr>
          <w:i/>
          <w:iCs/>
        </w:rPr>
        <w:t xml:space="preserve">The grievance must include a statement identifying to whom the client should/is giving the grievance. </w:t>
      </w:r>
    </w:p>
    <w:p w14:paraId="7C7D59D8" w14:textId="77777777" w:rsidR="004663A6" w:rsidRPr="004663A6" w:rsidRDefault="004663A6" w:rsidP="004663A6">
      <w:pPr>
        <w:numPr>
          <w:ilvl w:val="0"/>
          <w:numId w:val="8"/>
        </w:numPr>
        <w:rPr>
          <w:i/>
          <w:iCs/>
        </w:rPr>
      </w:pPr>
      <w:r w:rsidRPr="004663A6">
        <w:rPr>
          <w:i/>
          <w:iCs/>
        </w:rPr>
        <w:t xml:space="preserve">ARC-IP Site Program Director or an appointed staff member at the Program </w:t>
      </w:r>
    </w:p>
    <w:p w14:paraId="6FECBAC9" w14:textId="77777777" w:rsidR="004663A6" w:rsidRPr="004663A6" w:rsidRDefault="004663A6" w:rsidP="004663A6">
      <w:pPr>
        <w:numPr>
          <w:ilvl w:val="0"/>
          <w:numId w:val="8"/>
        </w:numPr>
        <w:rPr>
          <w:i/>
          <w:iCs/>
        </w:rPr>
      </w:pPr>
      <w:r w:rsidRPr="004663A6">
        <w:rPr>
          <w:i/>
          <w:iCs/>
        </w:rPr>
        <w:t>The ARC-</w:t>
      </w:r>
      <w:proofErr w:type="spellStart"/>
      <w:r w:rsidRPr="004663A6">
        <w:rPr>
          <w:i/>
          <w:iCs/>
        </w:rPr>
        <w:t>ip</w:t>
      </w:r>
      <w:proofErr w:type="spellEnd"/>
      <w:r w:rsidRPr="004663A6">
        <w:rPr>
          <w:i/>
          <w:iCs/>
        </w:rPr>
        <w:t xml:space="preserve"> will make a resolution decision on the grievance within 21 days calendar days of receipt of the grievance. Any extenuating circumstances indicating that this </w:t>
      </w:r>
      <w:proofErr w:type="gramStart"/>
      <w:r w:rsidRPr="004663A6">
        <w:rPr>
          <w:i/>
          <w:iCs/>
        </w:rPr>
        <w:t>time period</w:t>
      </w:r>
      <w:proofErr w:type="gramEnd"/>
      <w:r w:rsidRPr="004663A6">
        <w:rPr>
          <w:i/>
          <w:iCs/>
        </w:rPr>
        <w:t xml:space="preserve"> will need to be extended must be documented in the grievance file and written notification given to the client. </w:t>
      </w:r>
    </w:p>
    <w:p w14:paraId="67C6B305" w14:textId="77777777" w:rsidR="004663A6" w:rsidRPr="004663A6" w:rsidRDefault="004663A6" w:rsidP="004663A6">
      <w:pPr>
        <w:numPr>
          <w:ilvl w:val="0"/>
          <w:numId w:val="8"/>
        </w:numPr>
        <w:rPr>
          <w:i/>
          <w:iCs/>
        </w:rPr>
      </w:pPr>
      <w:r w:rsidRPr="004663A6">
        <w:rPr>
          <w:i/>
          <w:iCs/>
        </w:rPr>
        <w:t xml:space="preserve">Assistance will be provided in filing the grievance if needed by staff on duty at time the griever requests if griever files while at the program. An investigation of the grievance on behalf of the griever and agency representation for the griever at the agency hearing on the grievance if desired by the griever. </w:t>
      </w:r>
    </w:p>
    <w:p w14:paraId="749C85D7" w14:textId="77777777" w:rsidR="00D64262" w:rsidRDefault="00D64262" w:rsidP="00D64262">
      <w:pPr>
        <w:ind w:left="360"/>
        <w:rPr>
          <w:b/>
          <w:bCs/>
          <w:u w:val="single"/>
        </w:rPr>
      </w:pPr>
    </w:p>
    <w:p w14:paraId="4CCEA659" w14:textId="4FF13C20" w:rsidR="004663A6" w:rsidRPr="004663A6" w:rsidRDefault="004663A6" w:rsidP="00D64262">
      <w:r w:rsidRPr="004663A6">
        <w:rPr>
          <w:b/>
          <w:bCs/>
          <w:u w:val="single"/>
        </w:rPr>
        <w:t xml:space="preserve">Addictions Resource Center, INC </w:t>
      </w:r>
      <w:r w:rsidRPr="004663A6">
        <w:t xml:space="preserve">Exec Director/Services Supervisor: W. L. Houser-Thomas PsyD, LICDC-CS PO Box 807 Yellow Springs OH 45387 Ph: (937) 767-0178/ Fax: 937-688-1550 </w:t>
      </w:r>
    </w:p>
    <w:p w14:paraId="0A0800B9" w14:textId="77777777" w:rsidR="00D64262" w:rsidRDefault="00D64262" w:rsidP="00D64262">
      <w:pPr>
        <w:rPr>
          <w:b/>
          <w:bCs/>
          <w:u w:val="single"/>
        </w:rPr>
      </w:pPr>
    </w:p>
    <w:p w14:paraId="2ED094E0" w14:textId="33C790BA" w:rsidR="004663A6" w:rsidRPr="004663A6" w:rsidRDefault="004663A6" w:rsidP="00D64262">
      <w:proofErr w:type="spellStart"/>
      <w:r w:rsidRPr="004663A6">
        <w:rPr>
          <w:b/>
          <w:bCs/>
          <w:u w:val="single"/>
        </w:rPr>
        <w:t>OhioMHAS</w:t>
      </w:r>
      <w:proofErr w:type="spellEnd"/>
      <w:r w:rsidRPr="004663A6">
        <w:t xml:space="preserve"> 30 E Broad St, Columbus, OH 43215 </w:t>
      </w:r>
      <w:hyperlink r:id="rId7" w:history="1">
        <w:r w:rsidRPr="004663A6">
          <w:rPr>
            <w:rStyle w:val="Hyperlink"/>
          </w:rPr>
          <w:t>Ph</w:t>
        </w:r>
      </w:hyperlink>
      <w:r w:rsidRPr="004663A6">
        <w:t xml:space="preserve">: (614) 466-2596 Fax: </w:t>
      </w:r>
      <w:r w:rsidRPr="004663A6">
        <w:rPr>
          <w:b/>
          <w:bCs/>
        </w:rPr>
        <w:t>(614) 485-9737</w:t>
      </w:r>
      <w:r w:rsidRPr="004663A6">
        <w:t> </w:t>
      </w:r>
      <w:r w:rsidRPr="004663A6">
        <w:br/>
      </w:r>
      <w:r w:rsidRPr="004663A6">
        <w:rPr>
          <w:b/>
          <w:bCs/>
          <w:u w:val="single"/>
        </w:rPr>
        <w:t xml:space="preserve">Ohio Legal Rights </w:t>
      </w:r>
      <w:r w:rsidRPr="004663A6">
        <w:t>50 West Broad Street, Suite 1400 Columbus, Ohio 43215-5923   Phone: 614-466-7264 or 1-800-282-9181 (toll-free in Ohio only) TTY: 614-728-2553 or 1-800-858-3542</w:t>
      </w:r>
      <w:r w:rsidRPr="004663A6">
        <w:br/>
        <w:t xml:space="preserve">US DEPT. OF HHS </w:t>
      </w:r>
    </w:p>
    <w:p w14:paraId="3F857A00" w14:textId="77777777" w:rsidR="00D64262" w:rsidRDefault="00D64262" w:rsidP="00D64262">
      <w:pPr>
        <w:rPr>
          <w:b/>
          <w:bCs/>
          <w:u w:val="single"/>
        </w:rPr>
      </w:pPr>
    </w:p>
    <w:p w14:paraId="12EC2879" w14:textId="701061D1" w:rsidR="004663A6" w:rsidRPr="004663A6" w:rsidRDefault="004663A6" w:rsidP="00D64262">
      <w:r w:rsidRPr="004663A6">
        <w:rPr>
          <w:b/>
          <w:bCs/>
          <w:u w:val="single"/>
        </w:rPr>
        <w:t xml:space="preserve">Region V - Chicago (Illinois, Indiana, Michigan, Minnesota, Ohio, Wisconsin </w:t>
      </w:r>
      <w:r w:rsidRPr="004663A6">
        <w:t>Office for Civil Rights-U.S. Department of Health and Human Services 233 N. Michigan Ave., Suite 240 Chicago, IL 60601 Voice Phone (312)886-2359 FAX (312)886-1807 TDD (312)353-5693</w:t>
      </w:r>
    </w:p>
    <w:p w14:paraId="6BE4DF60" w14:textId="77777777" w:rsidR="004663A6" w:rsidRPr="0041343D" w:rsidRDefault="004663A6" w:rsidP="00BA21C5">
      <w:pPr>
        <w:rPr>
          <w:sz w:val="22"/>
          <w:szCs w:val="22"/>
        </w:rPr>
      </w:pPr>
    </w:p>
    <w:sectPr w:rsidR="004663A6" w:rsidRPr="0041343D" w:rsidSect="00192277">
      <w:headerReference w:type="default" r:id="rId8"/>
      <w:footerReference w:type="default" r:id="rId9"/>
      <w:pgSz w:w="12240" w:h="15840"/>
      <w:pgMar w:top="720" w:right="720" w:bottom="540" w:left="810" w:header="720" w:footer="1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3394B" w14:textId="77777777" w:rsidR="002627DE" w:rsidRDefault="002627DE">
      <w:r>
        <w:separator/>
      </w:r>
    </w:p>
  </w:endnote>
  <w:endnote w:type="continuationSeparator" w:id="0">
    <w:p w14:paraId="47E13375" w14:textId="77777777" w:rsidR="002627DE" w:rsidRDefault="0026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95B8" w14:textId="7C35D097" w:rsidR="00794F1C" w:rsidRPr="004178F8" w:rsidRDefault="004178F8" w:rsidP="00794F1C">
    <w:pPr>
      <w:pStyle w:val="Subtitle"/>
      <w:jc w:val="left"/>
      <w:rPr>
        <w:b w:val="0"/>
        <w:bCs w:val="0"/>
      </w:rPr>
    </w:pPr>
    <w:hyperlink r:id="rId1" w:history="1">
      <w:r w:rsidRPr="004178F8">
        <w:rPr>
          <w:rStyle w:val="Hyperlink"/>
          <w:b w:val="0"/>
          <w:bCs w:val="0"/>
          <w:color w:val="auto"/>
        </w:rPr>
        <w:t>www.arcdip.com</w:t>
      </w:r>
    </w:hyperlink>
    <w:r w:rsidRPr="004178F8">
      <w:rPr>
        <w:b w:val="0"/>
        <w:bCs w:val="0"/>
      </w:rPr>
      <w:tab/>
    </w:r>
    <w:r w:rsidRPr="004178F8">
      <w:rPr>
        <w:b w:val="0"/>
        <w:bCs w:val="0"/>
      </w:rPr>
      <w:tab/>
      <w:t>Cell:937-767-0178</w:t>
    </w:r>
    <w:r w:rsidRPr="004178F8">
      <w:rPr>
        <w:b w:val="0"/>
        <w:bCs w:val="0"/>
      </w:rPr>
      <w:tab/>
      <w:t xml:space="preserve"> * Fax: 937-688-1550</w:t>
    </w:r>
    <w:r w:rsidRPr="004178F8">
      <w:rPr>
        <w:b w:val="0"/>
        <w:bCs w:val="0"/>
      </w:rPr>
      <w:tab/>
      <w:t>info@arcdip.com</w:t>
    </w:r>
  </w:p>
  <w:p w14:paraId="083F8EBC" w14:textId="77777777" w:rsidR="00FB7625" w:rsidRDefault="002627DE" w:rsidP="00FB7625"/>
  <w:p w14:paraId="09538270" w14:textId="77777777" w:rsidR="00FB7625" w:rsidRDefault="002627DE" w:rsidP="00FB7625"/>
  <w:p w14:paraId="63BFC8BE" w14:textId="77777777" w:rsidR="00FB7625" w:rsidRDefault="00262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018B" w14:textId="77777777" w:rsidR="002627DE" w:rsidRDefault="002627DE">
      <w:r>
        <w:separator/>
      </w:r>
    </w:p>
  </w:footnote>
  <w:footnote w:type="continuationSeparator" w:id="0">
    <w:p w14:paraId="0C514F56" w14:textId="77777777" w:rsidR="002627DE" w:rsidRDefault="00262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514AB" w14:textId="3B0925DC" w:rsidR="004144E1" w:rsidRPr="009873CA" w:rsidRDefault="00874D8E" w:rsidP="00874D8E">
    <w:pPr>
      <w:pStyle w:val="Heading1"/>
      <w:tabs>
        <w:tab w:val="center" w:pos="5175"/>
        <w:tab w:val="left" w:pos="8505"/>
      </w:tabs>
      <w:jc w:val="left"/>
      <w:rPr>
        <w:sz w:val="28"/>
      </w:rPr>
    </w:pPr>
    <w:r>
      <w:rPr>
        <w:sz w:val="28"/>
      </w:rPr>
      <w:t xml:space="preserve">                                     </w:t>
    </w:r>
    <w:r w:rsidR="009F1950" w:rsidRPr="009873CA">
      <w:rPr>
        <w:sz w:val="28"/>
      </w:rPr>
      <w:t>Addiction’s Resource Center</w:t>
    </w:r>
    <w:r w:rsidR="00D64797">
      <w:rPr>
        <w:sz w:val="28"/>
      </w:rPr>
      <w:t>-IP</w:t>
    </w:r>
    <w:r w:rsidR="009F1950" w:rsidRPr="009873CA">
      <w:rPr>
        <w:sz w:val="28"/>
      </w:rPr>
      <w:t>, INC</w:t>
    </w:r>
    <w:r>
      <w:rPr>
        <w:sz w:val="28"/>
      </w:rPr>
      <w:t xml:space="preserve">           </w:t>
    </w:r>
    <w:r w:rsidRPr="00874D8E">
      <w:rPr>
        <w:sz w:val="16"/>
        <w:szCs w:val="16"/>
      </w:rPr>
      <w:t>ARC.F1.Client Agreements and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D492A"/>
    <w:multiLevelType w:val="multilevel"/>
    <w:tmpl w:val="4BE0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90700"/>
    <w:multiLevelType w:val="hybridMultilevel"/>
    <w:tmpl w:val="5518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02625"/>
    <w:multiLevelType w:val="hybridMultilevel"/>
    <w:tmpl w:val="3E28F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44D43"/>
    <w:multiLevelType w:val="hybridMultilevel"/>
    <w:tmpl w:val="75BE8D5A"/>
    <w:lvl w:ilvl="0" w:tplc="1C6EF844">
      <w:start w:val="1"/>
      <w:numFmt w:val="decimal"/>
      <w:lvlText w:val="%1."/>
      <w:lvlJc w:val="left"/>
      <w:pPr>
        <w:ind w:left="720" w:hanging="360"/>
      </w:pPr>
      <w:rPr>
        <w:rFonts w:ascii="Times New Roman" w:eastAsia="Times New Roman" w:hAnsi="Times New Roman" w:cs="Times New Roman"/>
        <w:color w:val="00008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234E0"/>
    <w:multiLevelType w:val="hybridMultilevel"/>
    <w:tmpl w:val="6C00BB36"/>
    <w:lvl w:ilvl="0" w:tplc="9294B624">
      <w:start w:val="1"/>
      <w:numFmt w:val="bullet"/>
      <w:lvlText w:val=""/>
      <w:lvlJc w:val="left"/>
      <w:pPr>
        <w:tabs>
          <w:tab w:val="num" w:pos="720"/>
        </w:tabs>
        <w:ind w:left="720" w:hanging="360"/>
      </w:pPr>
      <w:rPr>
        <w:rFonts w:ascii="Wingdings" w:hAnsi="Wingdings" w:hint="default"/>
      </w:rPr>
    </w:lvl>
    <w:lvl w:ilvl="1" w:tplc="2FF8A3C0" w:tentative="1">
      <w:start w:val="1"/>
      <w:numFmt w:val="bullet"/>
      <w:lvlText w:val=""/>
      <w:lvlJc w:val="left"/>
      <w:pPr>
        <w:tabs>
          <w:tab w:val="num" w:pos="1440"/>
        </w:tabs>
        <w:ind w:left="1440" w:hanging="360"/>
      </w:pPr>
      <w:rPr>
        <w:rFonts w:ascii="Wingdings" w:hAnsi="Wingdings" w:hint="default"/>
      </w:rPr>
    </w:lvl>
    <w:lvl w:ilvl="2" w:tplc="6D4A2824" w:tentative="1">
      <w:start w:val="1"/>
      <w:numFmt w:val="bullet"/>
      <w:lvlText w:val=""/>
      <w:lvlJc w:val="left"/>
      <w:pPr>
        <w:tabs>
          <w:tab w:val="num" w:pos="2160"/>
        </w:tabs>
        <w:ind w:left="2160" w:hanging="360"/>
      </w:pPr>
      <w:rPr>
        <w:rFonts w:ascii="Wingdings" w:hAnsi="Wingdings" w:hint="default"/>
      </w:rPr>
    </w:lvl>
    <w:lvl w:ilvl="3" w:tplc="442476EA" w:tentative="1">
      <w:start w:val="1"/>
      <w:numFmt w:val="bullet"/>
      <w:lvlText w:val=""/>
      <w:lvlJc w:val="left"/>
      <w:pPr>
        <w:tabs>
          <w:tab w:val="num" w:pos="2880"/>
        </w:tabs>
        <w:ind w:left="2880" w:hanging="360"/>
      </w:pPr>
      <w:rPr>
        <w:rFonts w:ascii="Wingdings" w:hAnsi="Wingdings" w:hint="default"/>
      </w:rPr>
    </w:lvl>
    <w:lvl w:ilvl="4" w:tplc="84984BAA" w:tentative="1">
      <w:start w:val="1"/>
      <w:numFmt w:val="bullet"/>
      <w:lvlText w:val=""/>
      <w:lvlJc w:val="left"/>
      <w:pPr>
        <w:tabs>
          <w:tab w:val="num" w:pos="3600"/>
        </w:tabs>
        <w:ind w:left="3600" w:hanging="360"/>
      </w:pPr>
      <w:rPr>
        <w:rFonts w:ascii="Wingdings" w:hAnsi="Wingdings" w:hint="default"/>
      </w:rPr>
    </w:lvl>
    <w:lvl w:ilvl="5" w:tplc="25C446F6" w:tentative="1">
      <w:start w:val="1"/>
      <w:numFmt w:val="bullet"/>
      <w:lvlText w:val=""/>
      <w:lvlJc w:val="left"/>
      <w:pPr>
        <w:tabs>
          <w:tab w:val="num" w:pos="4320"/>
        </w:tabs>
        <w:ind w:left="4320" w:hanging="360"/>
      </w:pPr>
      <w:rPr>
        <w:rFonts w:ascii="Wingdings" w:hAnsi="Wingdings" w:hint="default"/>
      </w:rPr>
    </w:lvl>
    <w:lvl w:ilvl="6" w:tplc="C3B0D946" w:tentative="1">
      <w:start w:val="1"/>
      <w:numFmt w:val="bullet"/>
      <w:lvlText w:val=""/>
      <w:lvlJc w:val="left"/>
      <w:pPr>
        <w:tabs>
          <w:tab w:val="num" w:pos="5040"/>
        </w:tabs>
        <w:ind w:left="5040" w:hanging="360"/>
      </w:pPr>
      <w:rPr>
        <w:rFonts w:ascii="Wingdings" w:hAnsi="Wingdings" w:hint="default"/>
      </w:rPr>
    </w:lvl>
    <w:lvl w:ilvl="7" w:tplc="F34A1258" w:tentative="1">
      <w:start w:val="1"/>
      <w:numFmt w:val="bullet"/>
      <w:lvlText w:val=""/>
      <w:lvlJc w:val="left"/>
      <w:pPr>
        <w:tabs>
          <w:tab w:val="num" w:pos="5760"/>
        </w:tabs>
        <w:ind w:left="5760" w:hanging="360"/>
      </w:pPr>
      <w:rPr>
        <w:rFonts w:ascii="Wingdings" w:hAnsi="Wingdings" w:hint="default"/>
      </w:rPr>
    </w:lvl>
    <w:lvl w:ilvl="8" w:tplc="19DA16E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7F035F"/>
    <w:multiLevelType w:val="hybridMultilevel"/>
    <w:tmpl w:val="ED928954"/>
    <w:lvl w:ilvl="0" w:tplc="F260F40C">
      <w:start w:val="1"/>
      <w:numFmt w:val="bullet"/>
      <w:lvlText w:val=""/>
      <w:lvlJc w:val="left"/>
      <w:pPr>
        <w:tabs>
          <w:tab w:val="num" w:pos="720"/>
        </w:tabs>
        <w:ind w:left="720" w:hanging="360"/>
      </w:pPr>
      <w:rPr>
        <w:rFonts w:ascii="Wingdings" w:hAnsi="Wingdings" w:hint="default"/>
      </w:rPr>
    </w:lvl>
    <w:lvl w:ilvl="1" w:tplc="FC2A7EEA">
      <w:numFmt w:val="bullet"/>
      <w:lvlText w:val=""/>
      <w:lvlJc w:val="left"/>
      <w:pPr>
        <w:tabs>
          <w:tab w:val="num" w:pos="1440"/>
        </w:tabs>
        <w:ind w:left="1440" w:hanging="360"/>
      </w:pPr>
      <w:rPr>
        <w:rFonts w:ascii="Wingdings" w:hAnsi="Wingdings" w:hint="default"/>
      </w:rPr>
    </w:lvl>
    <w:lvl w:ilvl="2" w:tplc="5162B178" w:tentative="1">
      <w:start w:val="1"/>
      <w:numFmt w:val="bullet"/>
      <w:lvlText w:val=""/>
      <w:lvlJc w:val="left"/>
      <w:pPr>
        <w:tabs>
          <w:tab w:val="num" w:pos="2160"/>
        </w:tabs>
        <w:ind w:left="2160" w:hanging="360"/>
      </w:pPr>
      <w:rPr>
        <w:rFonts w:ascii="Wingdings" w:hAnsi="Wingdings" w:hint="default"/>
      </w:rPr>
    </w:lvl>
    <w:lvl w:ilvl="3" w:tplc="CC0445B6" w:tentative="1">
      <w:start w:val="1"/>
      <w:numFmt w:val="bullet"/>
      <w:lvlText w:val=""/>
      <w:lvlJc w:val="left"/>
      <w:pPr>
        <w:tabs>
          <w:tab w:val="num" w:pos="2880"/>
        </w:tabs>
        <w:ind w:left="2880" w:hanging="360"/>
      </w:pPr>
      <w:rPr>
        <w:rFonts w:ascii="Wingdings" w:hAnsi="Wingdings" w:hint="default"/>
      </w:rPr>
    </w:lvl>
    <w:lvl w:ilvl="4" w:tplc="E622294C" w:tentative="1">
      <w:start w:val="1"/>
      <w:numFmt w:val="bullet"/>
      <w:lvlText w:val=""/>
      <w:lvlJc w:val="left"/>
      <w:pPr>
        <w:tabs>
          <w:tab w:val="num" w:pos="3600"/>
        </w:tabs>
        <w:ind w:left="3600" w:hanging="360"/>
      </w:pPr>
      <w:rPr>
        <w:rFonts w:ascii="Wingdings" w:hAnsi="Wingdings" w:hint="default"/>
      </w:rPr>
    </w:lvl>
    <w:lvl w:ilvl="5" w:tplc="BE7E8A52" w:tentative="1">
      <w:start w:val="1"/>
      <w:numFmt w:val="bullet"/>
      <w:lvlText w:val=""/>
      <w:lvlJc w:val="left"/>
      <w:pPr>
        <w:tabs>
          <w:tab w:val="num" w:pos="4320"/>
        </w:tabs>
        <w:ind w:left="4320" w:hanging="360"/>
      </w:pPr>
      <w:rPr>
        <w:rFonts w:ascii="Wingdings" w:hAnsi="Wingdings" w:hint="default"/>
      </w:rPr>
    </w:lvl>
    <w:lvl w:ilvl="6" w:tplc="F9EA3FCE" w:tentative="1">
      <w:start w:val="1"/>
      <w:numFmt w:val="bullet"/>
      <w:lvlText w:val=""/>
      <w:lvlJc w:val="left"/>
      <w:pPr>
        <w:tabs>
          <w:tab w:val="num" w:pos="5040"/>
        </w:tabs>
        <w:ind w:left="5040" w:hanging="360"/>
      </w:pPr>
      <w:rPr>
        <w:rFonts w:ascii="Wingdings" w:hAnsi="Wingdings" w:hint="default"/>
      </w:rPr>
    </w:lvl>
    <w:lvl w:ilvl="7" w:tplc="26D06F5C" w:tentative="1">
      <w:start w:val="1"/>
      <w:numFmt w:val="bullet"/>
      <w:lvlText w:val=""/>
      <w:lvlJc w:val="left"/>
      <w:pPr>
        <w:tabs>
          <w:tab w:val="num" w:pos="5760"/>
        </w:tabs>
        <w:ind w:left="5760" w:hanging="360"/>
      </w:pPr>
      <w:rPr>
        <w:rFonts w:ascii="Wingdings" w:hAnsi="Wingdings" w:hint="default"/>
      </w:rPr>
    </w:lvl>
    <w:lvl w:ilvl="8" w:tplc="88D6211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7D0DDC"/>
    <w:multiLevelType w:val="hybridMultilevel"/>
    <w:tmpl w:val="D026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BE6ECC"/>
    <w:multiLevelType w:val="hybridMultilevel"/>
    <w:tmpl w:val="C8E0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50"/>
    <w:rsid w:val="0000415C"/>
    <w:rsid w:val="00071F6E"/>
    <w:rsid w:val="00082F31"/>
    <w:rsid w:val="0009290A"/>
    <w:rsid w:val="000E4DB1"/>
    <w:rsid w:val="00191FC9"/>
    <w:rsid w:val="00192277"/>
    <w:rsid w:val="001C19A0"/>
    <w:rsid w:val="001E691C"/>
    <w:rsid w:val="00210961"/>
    <w:rsid w:val="00251DEB"/>
    <w:rsid w:val="0025712A"/>
    <w:rsid w:val="002627DE"/>
    <w:rsid w:val="00273B37"/>
    <w:rsid w:val="002A2D70"/>
    <w:rsid w:val="00313156"/>
    <w:rsid w:val="00323E92"/>
    <w:rsid w:val="00343AA3"/>
    <w:rsid w:val="003724E9"/>
    <w:rsid w:val="00374777"/>
    <w:rsid w:val="00385006"/>
    <w:rsid w:val="0041322D"/>
    <w:rsid w:val="0041343D"/>
    <w:rsid w:val="004178F8"/>
    <w:rsid w:val="004663A6"/>
    <w:rsid w:val="00471429"/>
    <w:rsid w:val="004F7CF3"/>
    <w:rsid w:val="00530845"/>
    <w:rsid w:val="00557C85"/>
    <w:rsid w:val="0058066E"/>
    <w:rsid w:val="00582880"/>
    <w:rsid w:val="005923AF"/>
    <w:rsid w:val="005945CA"/>
    <w:rsid w:val="005D59CB"/>
    <w:rsid w:val="0065667C"/>
    <w:rsid w:val="00656ECA"/>
    <w:rsid w:val="006571FF"/>
    <w:rsid w:val="00742325"/>
    <w:rsid w:val="007575F2"/>
    <w:rsid w:val="0079116F"/>
    <w:rsid w:val="007A3EC3"/>
    <w:rsid w:val="008137F8"/>
    <w:rsid w:val="00834F20"/>
    <w:rsid w:val="008359BB"/>
    <w:rsid w:val="00847B09"/>
    <w:rsid w:val="008625B2"/>
    <w:rsid w:val="00874D8E"/>
    <w:rsid w:val="0089222D"/>
    <w:rsid w:val="0093010D"/>
    <w:rsid w:val="009A2C42"/>
    <w:rsid w:val="009C6F7E"/>
    <w:rsid w:val="009F1950"/>
    <w:rsid w:val="00A136EE"/>
    <w:rsid w:val="00A52E34"/>
    <w:rsid w:val="00A564C3"/>
    <w:rsid w:val="00B01DBC"/>
    <w:rsid w:val="00B10C0C"/>
    <w:rsid w:val="00B43260"/>
    <w:rsid w:val="00B82489"/>
    <w:rsid w:val="00BA21C5"/>
    <w:rsid w:val="00BD1130"/>
    <w:rsid w:val="00BD6805"/>
    <w:rsid w:val="00BE0D75"/>
    <w:rsid w:val="00BE44EE"/>
    <w:rsid w:val="00C119B6"/>
    <w:rsid w:val="00C46D3B"/>
    <w:rsid w:val="00C57C2D"/>
    <w:rsid w:val="00CC2535"/>
    <w:rsid w:val="00CC5FB9"/>
    <w:rsid w:val="00D2238E"/>
    <w:rsid w:val="00D60C5B"/>
    <w:rsid w:val="00D64262"/>
    <w:rsid w:val="00D64797"/>
    <w:rsid w:val="00D7311A"/>
    <w:rsid w:val="00D77F81"/>
    <w:rsid w:val="00D91680"/>
    <w:rsid w:val="00DB3ABE"/>
    <w:rsid w:val="00DD209E"/>
    <w:rsid w:val="00E50769"/>
    <w:rsid w:val="00E512FE"/>
    <w:rsid w:val="00E563BC"/>
    <w:rsid w:val="00EA4866"/>
    <w:rsid w:val="00EB3D29"/>
    <w:rsid w:val="00ED23B5"/>
    <w:rsid w:val="00F22BD1"/>
    <w:rsid w:val="00F674D0"/>
    <w:rsid w:val="00F80A84"/>
    <w:rsid w:val="00FB4A15"/>
    <w:rsid w:val="00FC10AC"/>
    <w:rsid w:val="00FD1AAF"/>
    <w:rsid w:val="00FF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765D5"/>
  <w15:chartTrackingRefBased/>
  <w15:docId w15:val="{0425467D-68DA-4725-8149-B4B0DFA6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9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F1950"/>
    <w:pPr>
      <w:keepNext/>
      <w:widowControl w:val="0"/>
      <w:tabs>
        <w:tab w:val="center" w:pos="5400"/>
      </w:tabs>
      <w:jc w:val="center"/>
      <w:outlineLvl w:val="0"/>
    </w:pPr>
    <w:rPr>
      <w:b/>
      <w:i/>
      <w:smallCaps/>
      <w:sz w:val="36"/>
    </w:rPr>
  </w:style>
  <w:style w:type="paragraph" w:styleId="Heading7">
    <w:name w:val="heading 7"/>
    <w:basedOn w:val="Normal"/>
    <w:next w:val="Normal"/>
    <w:link w:val="Heading7Char"/>
    <w:uiPriority w:val="9"/>
    <w:semiHidden/>
    <w:unhideWhenUsed/>
    <w:qFormat/>
    <w:rsid w:val="00251DE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1950"/>
    <w:rPr>
      <w:rFonts w:ascii="Times New Roman" w:eastAsia="Times New Roman" w:hAnsi="Times New Roman" w:cs="Times New Roman"/>
      <w:b/>
      <w:i/>
      <w:smallCaps/>
      <w:sz w:val="36"/>
      <w:szCs w:val="24"/>
    </w:rPr>
  </w:style>
  <w:style w:type="paragraph" w:styleId="Header">
    <w:name w:val="header"/>
    <w:basedOn w:val="Normal"/>
    <w:link w:val="HeaderChar"/>
    <w:uiPriority w:val="99"/>
    <w:unhideWhenUsed/>
    <w:rsid w:val="009F1950"/>
    <w:pPr>
      <w:tabs>
        <w:tab w:val="center" w:pos="4680"/>
        <w:tab w:val="right" w:pos="9360"/>
      </w:tabs>
    </w:pPr>
  </w:style>
  <w:style w:type="character" w:customStyle="1" w:styleId="HeaderChar">
    <w:name w:val="Header Char"/>
    <w:basedOn w:val="DefaultParagraphFont"/>
    <w:link w:val="Header"/>
    <w:uiPriority w:val="99"/>
    <w:rsid w:val="009F19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1950"/>
    <w:pPr>
      <w:tabs>
        <w:tab w:val="center" w:pos="4680"/>
        <w:tab w:val="right" w:pos="9360"/>
      </w:tabs>
    </w:pPr>
  </w:style>
  <w:style w:type="character" w:customStyle="1" w:styleId="FooterChar">
    <w:name w:val="Footer Char"/>
    <w:basedOn w:val="DefaultParagraphFont"/>
    <w:link w:val="Footer"/>
    <w:uiPriority w:val="99"/>
    <w:rsid w:val="009F1950"/>
    <w:rPr>
      <w:rFonts w:ascii="Times New Roman" w:eastAsia="Times New Roman" w:hAnsi="Times New Roman" w:cs="Times New Roman"/>
      <w:sz w:val="24"/>
      <w:szCs w:val="24"/>
    </w:rPr>
  </w:style>
  <w:style w:type="paragraph" w:styleId="Title">
    <w:name w:val="Title"/>
    <w:basedOn w:val="Normal"/>
    <w:link w:val="TitleChar"/>
    <w:qFormat/>
    <w:rsid w:val="009F1950"/>
    <w:pPr>
      <w:jc w:val="center"/>
    </w:pPr>
    <w:rPr>
      <w:b/>
      <w:bCs/>
      <w:sz w:val="28"/>
    </w:rPr>
  </w:style>
  <w:style w:type="character" w:customStyle="1" w:styleId="TitleChar">
    <w:name w:val="Title Char"/>
    <w:basedOn w:val="DefaultParagraphFont"/>
    <w:link w:val="Title"/>
    <w:rsid w:val="009F1950"/>
    <w:rPr>
      <w:rFonts w:ascii="Times New Roman" w:eastAsia="Times New Roman" w:hAnsi="Times New Roman" w:cs="Times New Roman"/>
      <w:b/>
      <w:bCs/>
      <w:sz w:val="28"/>
      <w:szCs w:val="24"/>
    </w:rPr>
  </w:style>
  <w:style w:type="paragraph" w:styleId="Subtitle">
    <w:name w:val="Subtitle"/>
    <w:basedOn w:val="Normal"/>
    <w:link w:val="SubtitleChar"/>
    <w:qFormat/>
    <w:rsid w:val="009F1950"/>
    <w:pPr>
      <w:jc w:val="center"/>
    </w:pPr>
    <w:rPr>
      <w:b/>
      <w:bCs/>
      <w:sz w:val="28"/>
      <w:u w:val="single"/>
    </w:rPr>
  </w:style>
  <w:style w:type="character" w:customStyle="1" w:styleId="SubtitleChar">
    <w:name w:val="Subtitle Char"/>
    <w:basedOn w:val="DefaultParagraphFont"/>
    <w:link w:val="Subtitle"/>
    <w:rsid w:val="009F1950"/>
    <w:rPr>
      <w:rFonts w:ascii="Times New Roman" w:eastAsia="Times New Roman" w:hAnsi="Times New Roman" w:cs="Times New Roman"/>
      <w:b/>
      <w:bCs/>
      <w:sz w:val="28"/>
      <w:szCs w:val="24"/>
      <w:u w:val="single"/>
    </w:rPr>
  </w:style>
  <w:style w:type="paragraph" w:styleId="ListParagraph">
    <w:name w:val="List Paragraph"/>
    <w:basedOn w:val="Normal"/>
    <w:uiPriority w:val="34"/>
    <w:qFormat/>
    <w:rsid w:val="009F1950"/>
    <w:pPr>
      <w:ind w:left="720"/>
      <w:contextualSpacing/>
    </w:pPr>
  </w:style>
  <w:style w:type="paragraph" w:styleId="BodyText">
    <w:name w:val="Body Text"/>
    <w:basedOn w:val="Normal"/>
    <w:link w:val="BodyTextChar"/>
    <w:uiPriority w:val="1"/>
    <w:qFormat/>
    <w:rsid w:val="009F1950"/>
    <w:pPr>
      <w:widowControl w:val="0"/>
    </w:pPr>
    <w:rPr>
      <w:rFonts w:ascii="Arial" w:eastAsia="Arial" w:hAnsi="Arial" w:cs="Arial"/>
    </w:rPr>
  </w:style>
  <w:style w:type="character" w:customStyle="1" w:styleId="BodyTextChar">
    <w:name w:val="Body Text Char"/>
    <w:basedOn w:val="DefaultParagraphFont"/>
    <w:link w:val="BodyText"/>
    <w:uiPriority w:val="1"/>
    <w:rsid w:val="009F1950"/>
    <w:rPr>
      <w:rFonts w:ascii="Arial" w:eastAsia="Arial" w:hAnsi="Arial" w:cs="Arial"/>
      <w:sz w:val="24"/>
      <w:szCs w:val="24"/>
    </w:rPr>
  </w:style>
  <w:style w:type="character" w:customStyle="1" w:styleId="apple-converted-space">
    <w:name w:val="apple-converted-space"/>
    <w:basedOn w:val="DefaultParagraphFont"/>
    <w:rsid w:val="009F1950"/>
  </w:style>
  <w:style w:type="character" w:styleId="Hyperlink">
    <w:name w:val="Hyperlink"/>
    <w:basedOn w:val="DefaultParagraphFont"/>
    <w:uiPriority w:val="99"/>
    <w:unhideWhenUsed/>
    <w:rsid w:val="009F1950"/>
    <w:rPr>
      <w:color w:val="0000FF"/>
      <w:u w:val="single"/>
    </w:rPr>
  </w:style>
  <w:style w:type="paragraph" w:styleId="NormalWeb">
    <w:name w:val="Normal (Web)"/>
    <w:basedOn w:val="Normal"/>
    <w:uiPriority w:val="99"/>
    <w:unhideWhenUsed/>
    <w:rsid w:val="009F1950"/>
    <w:pPr>
      <w:spacing w:before="100" w:beforeAutospacing="1" w:after="100" w:afterAutospacing="1"/>
    </w:pPr>
  </w:style>
  <w:style w:type="character" w:customStyle="1" w:styleId="oneclick-link">
    <w:name w:val="oneclick-link"/>
    <w:basedOn w:val="DefaultParagraphFont"/>
    <w:rsid w:val="009F1950"/>
  </w:style>
  <w:style w:type="paragraph" w:styleId="BalloonText">
    <w:name w:val="Balloon Text"/>
    <w:basedOn w:val="Normal"/>
    <w:link w:val="BalloonTextChar"/>
    <w:uiPriority w:val="99"/>
    <w:semiHidden/>
    <w:unhideWhenUsed/>
    <w:rsid w:val="00592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3AF"/>
    <w:rPr>
      <w:rFonts w:ascii="Segoe UI" w:eastAsia="Times New Roman" w:hAnsi="Segoe UI" w:cs="Segoe UI"/>
      <w:sz w:val="18"/>
      <w:szCs w:val="18"/>
    </w:rPr>
  </w:style>
  <w:style w:type="character" w:customStyle="1" w:styleId="Heading7Char">
    <w:name w:val="Heading 7 Char"/>
    <w:basedOn w:val="DefaultParagraphFont"/>
    <w:link w:val="Heading7"/>
    <w:uiPriority w:val="9"/>
    <w:semiHidden/>
    <w:rsid w:val="00251DEB"/>
    <w:rPr>
      <w:rFonts w:asciiTheme="majorHAnsi" w:eastAsiaTheme="majorEastAsia" w:hAnsiTheme="majorHAnsi" w:cstheme="majorBidi"/>
      <w:i/>
      <w:iCs/>
      <w:color w:val="1F3763" w:themeColor="accent1" w:themeShade="7F"/>
      <w:sz w:val="24"/>
      <w:szCs w:val="24"/>
    </w:rPr>
  </w:style>
  <w:style w:type="character" w:styleId="Strong">
    <w:name w:val="Strong"/>
    <w:basedOn w:val="DefaultParagraphFont"/>
    <w:uiPriority w:val="22"/>
    <w:qFormat/>
    <w:rsid w:val="00E50769"/>
    <w:rPr>
      <w:b/>
      <w:bCs/>
    </w:rPr>
  </w:style>
  <w:style w:type="table" w:styleId="TableGrid">
    <w:name w:val="Table Grid"/>
    <w:basedOn w:val="TableNormal"/>
    <w:uiPriority w:val="39"/>
    <w:rsid w:val="00210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6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265691">
      <w:bodyDiv w:val="1"/>
      <w:marLeft w:val="0"/>
      <w:marRight w:val="0"/>
      <w:marTop w:val="0"/>
      <w:marBottom w:val="0"/>
      <w:divBdr>
        <w:top w:val="none" w:sz="0" w:space="0" w:color="auto"/>
        <w:left w:val="none" w:sz="0" w:space="0" w:color="auto"/>
        <w:bottom w:val="none" w:sz="0" w:space="0" w:color="auto"/>
        <w:right w:val="none" w:sz="0" w:space="0" w:color="auto"/>
      </w:divBdr>
      <w:divsChild>
        <w:div w:id="2074349886">
          <w:marLeft w:val="360"/>
          <w:marRight w:val="0"/>
          <w:marTop w:val="43"/>
          <w:marBottom w:val="0"/>
          <w:divBdr>
            <w:top w:val="none" w:sz="0" w:space="0" w:color="auto"/>
            <w:left w:val="none" w:sz="0" w:space="0" w:color="auto"/>
            <w:bottom w:val="none" w:sz="0" w:space="0" w:color="auto"/>
            <w:right w:val="none" w:sz="0" w:space="0" w:color="auto"/>
          </w:divBdr>
        </w:div>
        <w:div w:id="2060667299">
          <w:marLeft w:val="360"/>
          <w:marRight w:val="0"/>
          <w:marTop w:val="77"/>
          <w:marBottom w:val="0"/>
          <w:divBdr>
            <w:top w:val="none" w:sz="0" w:space="0" w:color="auto"/>
            <w:left w:val="none" w:sz="0" w:space="0" w:color="auto"/>
            <w:bottom w:val="none" w:sz="0" w:space="0" w:color="auto"/>
            <w:right w:val="none" w:sz="0" w:space="0" w:color="auto"/>
          </w:divBdr>
        </w:div>
        <w:div w:id="923537779">
          <w:marLeft w:val="360"/>
          <w:marRight w:val="0"/>
          <w:marTop w:val="77"/>
          <w:marBottom w:val="0"/>
          <w:divBdr>
            <w:top w:val="none" w:sz="0" w:space="0" w:color="auto"/>
            <w:left w:val="none" w:sz="0" w:space="0" w:color="auto"/>
            <w:bottom w:val="none" w:sz="0" w:space="0" w:color="auto"/>
            <w:right w:val="none" w:sz="0" w:space="0" w:color="auto"/>
          </w:divBdr>
        </w:div>
        <w:div w:id="767114935">
          <w:marLeft w:val="360"/>
          <w:marRight w:val="0"/>
          <w:marTop w:val="77"/>
          <w:marBottom w:val="0"/>
          <w:divBdr>
            <w:top w:val="none" w:sz="0" w:space="0" w:color="auto"/>
            <w:left w:val="none" w:sz="0" w:space="0" w:color="auto"/>
            <w:bottom w:val="none" w:sz="0" w:space="0" w:color="auto"/>
            <w:right w:val="none" w:sz="0" w:space="0" w:color="auto"/>
          </w:divBdr>
        </w:div>
        <w:div w:id="240530391">
          <w:marLeft w:val="792"/>
          <w:marRight w:val="0"/>
          <w:marTop w:val="77"/>
          <w:marBottom w:val="0"/>
          <w:divBdr>
            <w:top w:val="none" w:sz="0" w:space="0" w:color="auto"/>
            <w:left w:val="none" w:sz="0" w:space="0" w:color="auto"/>
            <w:bottom w:val="none" w:sz="0" w:space="0" w:color="auto"/>
            <w:right w:val="none" w:sz="0" w:space="0" w:color="auto"/>
          </w:divBdr>
        </w:div>
        <w:div w:id="598950387">
          <w:marLeft w:val="360"/>
          <w:marRight w:val="0"/>
          <w:marTop w:val="77"/>
          <w:marBottom w:val="0"/>
          <w:divBdr>
            <w:top w:val="none" w:sz="0" w:space="0" w:color="auto"/>
            <w:left w:val="none" w:sz="0" w:space="0" w:color="auto"/>
            <w:bottom w:val="none" w:sz="0" w:space="0" w:color="auto"/>
            <w:right w:val="none" w:sz="0" w:space="0" w:color="auto"/>
          </w:divBdr>
        </w:div>
        <w:div w:id="1165970073">
          <w:marLeft w:val="360"/>
          <w:marRight w:val="0"/>
          <w:marTop w:val="77"/>
          <w:marBottom w:val="0"/>
          <w:divBdr>
            <w:top w:val="none" w:sz="0" w:space="0" w:color="auto"/>
            <w:left w:val="none" w:sz="0" w:space="0" w:color="auto"/>
            <w:bottom w:val="none" w:sz="0" w:space="0" w:color="auto"/>
            <w:right w:val="none" w:sz="0" w:space="0" w:color="auto"/>
          </w:divBdr>
        </w:div>
        <w:div w:id="1836722761">
          <w:marLeft w:val="360"/>
          <w:marRight w:val="0"/>
          <w:marTop w:val="77"/>
          <w:marBottom w:val="0"/>
          <w:divBdr>
            <w:top w:val="none" w:sz="0" w:space="0" w:color="auto"/>
            <w:left w:val="none" w:sz="0" w:space="0" w:color="auto"/>
            <w:bottom w:val="none" w:sz="0" w:space="0" w:color="auto"/>
            <w:right w:val="none" w:sz="0" w:space="0" w:color="auto"/>
          </w:divBdr>
        </w:div>
        <w:div w:id="1920209171">
          <w:marLeft w:val="360"/>
          <w:marRight w:val="0"/>
          <w:marTop w:val="77"/>
          <w:marBottom w:val="0"/>
          <w:divBdr>
            <w:top w:val="none" w:sz="0" w:space="0" w:color="auto"/>
            <w:left w:val="none" w:sz="0" w:space="0" w:color="auto"/>
            <w:bottom w:val="none" w:sz="0" w:space="0" w:color="auto"/>
            <w:right w:val="none" w:sz="0" w:space="0" w:color="auto"/>
          </w:divBdr>
        </w:div>
        <w:div w:id="1345092200">
          <w:marLeft w:val="360"/>
          <w:marRight w:val="0"/>
          <w:marTop w:val="58"/>
          <w:marBottom w:val="0"/>
          <w:divBdr>
            <w:top w:val="none" w:sz="0" w:space="0" w:color="auto"/>
            <w:left w:val="none" w:sz="0" w:space="0" w:color="auto"/>
            <w:bottom w:val="none" w:sz="0" w:space="0" w:color="auto"/>
            <w:right w:val="none" w:sz="0" w:space="0" w:color="auto"/>
          </w:divBdr>
        </w:div>
        <w:div w:id="2139373749">
          <w:marLeft w:val="360"/>
          <w:marRight w:val="0"/>
          <w:marTop w:val="58"/>
          <w:marBottom w:val="0"/>
          <w:divBdr>
            <w:top w:val="none" w:sz="0" w:space="0" w:color="auto"/>
            <w:left w:val="none" w:sz="0" w:space="0" w:color="auto"/>
            <w:bottom w:val="none" w:sz="0" w:space="0" w:color="auto"/>
            <w:right w:val="none" w:sz="0" w:space="0" w:color="auto"/>
          </w:divBdr>
        </w:div>
        <w:div w:id="557515208">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biw=1600&amp;bih=770&amp;q=ohio+department-mental+health+phone&amp;stick=H4sIAAAAAAAAAOPgE-LWT9c3LMnOyzE2qtDSz0620k_Oz8lJTS7JzM_Tz87LL89JTUlPjS9IzEvNKdbPSCyOL8jIz0u1ApMAnNTbFEAAAAA&amp;sa=X&amp;ved=0ahUKEwjmx9C9otTSAhWE6yYKHdVjD9MQ6BMIgQEw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rcd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Thomas</dc:creator>
  <cp:keywords/>
  <dc:description/>
  <cp:lastModifiedBy>Willow Thomas</cp:lastModifiedBy>
  <cp:revision>3</cp:revision>
  <cp:lastPrinted>2018-10-08T17:39:00Z</cp:lastPrinted>
  <dcterms:created xsi:type="dcterms:W3CDTF">2021-04-27T15:43:00Z</dcterms:created>
  <dcterms:modified xsi:type="dcterms:W3CDTF">2021-04-27T15:46:00Z</dcterms:modified>
</cp:coreProperties>
</file>